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5F" w:rsidRPr="00CD355F" w:rsidRDefault="00CD355F" w:rsidP="00CD3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355F">
        <w:rPr>
          <w:rFonts w:ascii="Arial" w:hAnsi="Arial" w:cs="Arial"/>
          <w:b/>
          <w:sz w:val="24"/>
          <w:szCs w:val="24"/>
        </w:rPr>
        <w:t>UNIVERZITET U TRAVNIKU</w:t>
      </w:r>
    </w:p>
    <w:p w:rsidR="00CD355F" w:rsidRPr="00CD355F" w:rsidRDefault="00CD355F" w:rsidP="00CD3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355F">
        <w:rPr>
          <w:rFonts w:ascii="Arial" w:hAnsi="Arial" w:cs="Arial"/>
          <w:b/>
          <w:sz w:val="24"/>
          <w:szCs w:val="24"/>
        </w:rPr>
        <w:t>PRAVNI FAKULTET</w:t>
      </w:r>
    </w:p>
    <w:p w:rsidR="00CD355F" w:rsidRPr="00CD355F" w:rsidRDefault="00CD355F" w:rsidP="00CD3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355F">
        <w:rPr>
          <w:rFonts w:ascii="Arial" w:hAnsi="Arial" w:cs="Arial"/>
          <w:b/>
          <w:sz w:val="24"/>
          <w:szCs w:val="24"/>
        </w:rPr>
        <w:t>KISELJAK</w:t>
      </w:r>
    </w:p>
    <w:p w:rsidR="00CD355F" w:rsidRPr="00CD355F" w:rsidRDefault="00CD355F" w:rsidP="00CD3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C4C8D" w:rsidRPr="00340253" w:rsidRDefault="008C4C8D" w:rsidP="008C4C8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40253">
        <w:rPr>
          <w:rFonts w:ascii="Arial" w:hAnsi="Arial" w:cs="Arial"/>
          <w:b/>
          <w:sz w:val="24"/>
          <w:szCs w:val="24"/>
        </w:rPr>
        <w:t>TEME ZA SEMINARSKE RADOVE</w:t>
      </w:r>
    </w:p>
    <w:p w:rsidR="00CD355F" w:rsidRDefault="00CD355F" w:rsidP="00CD3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40253">
        <w:rPr>
          <w:rFonts w:ascii="Arial" w:hAnsi="Arial" w:cs="Arial"/>
          <w:b/>
          <w:sz w:val="24"/>
          <w:szCs w:val="24"/>
        </w:rPr>
        <w:t>PRIVREDNO PRAVNI SISTEM I POLITIKA</w:t>
      </w:r>
    </w:p>
    <w:p w:rsidR="008C4C8D" w:rsidRPr="00340253" w:rsidRDefault="00832301" w:rsidP="00CD3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AKADEMSKA 2018/2019</w:t>
      </w:r>
      <w:r w:rsidR="008C4C8D">
        <w:rPr>
          <w:rFonts w:ascii="Arial" w:hAnsi="Arial" w:cs="Arial"/>
          <w:b/>
          <w:sz w:val="24"/>
          <w:szCs w:val="24"/>
        </w:rPr>
        <w:t>. GODINA</w:t>
      </w:r>
    </w:p>
    <w:p w:rsidR="00CD355F" w:rsidRDefault="00CD355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Koncepcije ekonomske politike u manje razvijenim zemljama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Determinante ekonomskog razvoja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Teorijske osnove privrednog razvoja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Politički sistem i ekonomski razvoj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Pravni poredak i ekonomski razvoj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Faktori ekonomskog razvoja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Stanovništvo kao faktor ekonomskog razvoja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Prirodno bogatstvo kao faktor ekonomskog razvoja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Proizvedeno bogatstvo kao faktor ekonomskog razvoja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Akumulacija kao faktor ekonomskog razvoja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Tehnički progres kao faktor ekonomskog razvoja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Društveni uvjeti rada kao faktor ekonomskog razvoja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Privredni i pravni sistem BiH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Oblici svojine nad sredstvima za rad i kapitalom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Preduzeće kao osnovni nosilac privređivanja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Ekonomska uloga države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Pojam i funkcioniranje privrednog sistema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Ustavni sistem i privredni sistem BiH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Tranzicija privrede i privredni sistem BiH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Ekonomska politika kao praktična djelatnost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Nositelji ekonomske politike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 xml:space="preserve">Državna tjela kao nositelji </w:t>
            </w:r>
            <w:r w:rsidRPr="008C4C8D">
              <w:rPr>
                <w:rFonts w:ascii="Arial" w:hAnsi="Arial" w:cs="Arial"/>
                <w:b/>
                <w:sz w:val="24"/>
                <w:szCs w:val="24"/>
              </w:rPr>
              <w:lastRenderedPageBreak/>
              <w:t>ekonomske politike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lastRenderedPageBreak/>
              <w:t>Berze kao nositelji ekonomske politike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Pozicija privrednih komora u kreiranju ekonomske politike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Značaj političkih i državnih organizacija u ekonomskoj politici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Međunarodne organizacije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Sindikati i njihova uloga u društvu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Međunarodni monetarni fond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Europska unija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 xml:space="preserve">Monetarno-kreditna politika 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Fiskalna politika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Dioničarsko društvo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Društvo sa ograničenom odgovornošdu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Javna preduzeća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Javne korporacije BiH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Pojam i uloga tržišta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Tržište kapitala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Tršište novca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Tržište novca i kapitala u BiH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Tržište rada u BiH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 xml:space="preserve">Politika cijena 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Primarna, sekundarna, tercijalna i kvartalna raspodjela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Pojam i vrste investicija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Investicije u BiH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Funkcije i oblici novca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Monetarna ravnoteža i neravnoteža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Pojam i vrste inflacije i stagflacije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Pojam i obilježja deflacije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Pojam i obilježja devalvacije i revalvacije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Izvori i vrste kredita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Bankarski sistem u BiH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Pojam i funkcije centralne banke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Centralna banka kao kreator monetarne politike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Monetarno kreditna politika u BiH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Pojam i zadaci fiskalnog sistema u BiH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F95E2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 xml:space="preserve">Sistem javnih prihoda 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E2D" w:rsidTr="008C4C8D">
        <w:tc>
          <w:tcPr>
            <w:tcW w:w="4644" w:type="dxa"/>
          </w:tcPr>
          <w:p w:rsidR="00F95E2D" w:rsidRPr="008C4C8D" w:rsidRDefault="008C4C8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Pojam i karakteristike poreza </w:t>
            </w:r>
          </w:p>
        </w:tc>
        <w:tc>
          <w:tcPr>
            <w:tcW w:w="4644" w:type="dxa"/>
          </w:tcPr>
          <w:p w:rsidR="00F95E2D" w:rsidRDefault="00F95E2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C8D" w:rsidTr="008C4C8D">
        <w:tc>
          <w:tcPr>
            <w:tcW w:w="4644" w:type="dxa"/>
          </w:tcPr>
          <w:p w:rsidR="008C4C8D" w:rsidRPr="008C4C8D" w:rsidRDefault="008C4C8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Općenito o poreznoj politici</w:t>
            </w:r>
          </w:p>
        </w:tc>
        <w:tc>
          <w:tcPr>
            <w:tcW w:w="4644" w:type="dxa"/>
          </w:tcPr>
          <w:p w:rsidR="008C4C8D" w:rsidRDefault="008C4C8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C8D" w:rsidTr="008C4C8D">
        <w:tc>
          <w:tcPr>
            <w:tcW w:w="4644" w:type="dxa"/>
          </w:tcPr>
          <w:p w:rsidR="008C4C8D" w:rsidRPr="008C4C8D" w:rsidRDefault="008C4C8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Porezna politika u BiH</w:t>
            </w:r>
          </w:p>
        </w:tc>
        <w:tc>
          <w:tcPr>
            <w:tcW w:w="4644" w:type="dxa"/>
          </w:tcPr>
          <w:p w:rsidR="008C4C8D" w:rsidRDefault="008C4C8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C8D" w:rsidTr="008C4C8D">
        <w:tc>
          <w:tcPr>
            <w:tcW w:w="4644" w:type="dxa"/>
          </w:tcPr>
          <w:p w:rsidR="008C4C8D" w:rsidRPr="008C4C8D" w:rsidRDefault="008C4C8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Pojam i karakteristike budžeta</w:t>
            </w:r>
          </w:p>
        </w:tc>
        <w:tc>
          <w:tcPr>
            <w:tcW w:w="4644" w:type="dxa"/>
          </w:tcPr>
          <w:p w:rsidR="008C4C8D" w:rsidRDefault="008C4C8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C8D" w:rsidTr="008C4C8D">
        <w:tc>
          <w:tcPr>
            <w:tcW w:w="4644" w:type="dxa"/>
          </w:tcPr>
          <w:p w:rsidR="008C4C8D" w:rsidRPr="008C4C8D" w:rsidRDefault="008C4C8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Budžetska politika u BiH</w:t>
            </w:r>
          </w:p>
        </w:tc>
        <w:tc>
          <w:tcPr>
            <w:tcW w:w="4644" w:type="dxa"/>
          </w:tcPr>
          <w:p w:rsidR="008C4C8D" w:rsidRDefault="008C4C8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C8D" w:rsidTr="008C4C8D">
        <w:tc>
          <w:tcPr>
            <w:tcW w:w="4644" w:type="dxa"/>
          </w:tcPr>
          <w:p w:rsidR="008C4C8D" w:rsidRPr="008C4C8D" w:rsidRDefault="008C4C8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Značaj i neophodnost međunarodne razmjene</w:t>
            </w:r>
          </w:p>
        </w:tc>
        <w:tc>
          <w:tcPr>
            <w:tcW w:w="4644" w:type="dxa"/>
          </w:tcPr>
          <w:p w:rsidR="008C4C8D" w:rsidRDefault="008C4C8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C8D" w:rsidTr="008C4C8D">
        <w:tc>
          <w:tcPr>
            <w:tcW w:w="4644" w:type="dxa"/>
          </w:tcPr>
          <w:p w:rsidR="008C4C8D" w:rsidRPr="008C4C8D" w:rsidRDefault="008C4C8D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Instrumenti vanjske trgovine</w:t>
            </w:r>
          </w:p>
        </w:tc>
        <w:tc>
          <w:tcPr>
            <w:tcW w:w="4644" w:type="dxa"/>
          </w:tcPr>
          <w:p w:rsidR="008C4C8D" w:rsidRDefault="008C4C8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C8D" w:rsidTr="008C4C8D">
        <w:tc>
          <w:tcPr>
            <w:tcW w:w="4644" w:type="dxa"/>
          </w:tcPr>
          <w:p w:rsidR="008C4C8D" w:rsidRPr="004D2B16" w:rsidRDefault="008C4C8D" w:rsidP="004D2B1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Platna bilanca</w:t>
            </w:r>
          </w:p>
        </w:tc>
        <w:tc>
          <w:tcPr>
            <w:tcW w:w="4644" w:type="dxa"/>
          </w:tcPr>
          <w:p w:rsidR="008C4C8D" w:rsidRDefault="008C4C8D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B16" w:rsidTr="008C4C8D">
        <w:tc>
          <w:tcPr>
            <w:tcW w:w="4644" w:type="dxa"/>
          </w:tcPr>
          <w:p w:rsidR="004D2B16" w:rsidRPr="008C4C8D" w:rsidRDefault="004D2B16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C8D">
              <w:rPr>
                <w:rFonts w:ascii="Arial" w:hAnsi="Arial" w:cs="Arial"/>
                <w:b/>
                <w:sz w:val="24"/>
                <w:szCs w:val="24"/>
              </w:rPr>
              <w:t>Regionalni razvoj</w:t>
            </w:r>
          </w:p>
        </w:tc>
        <w:tc>
          <w:tcPr>
            <w:tcW w:w="4644" w:type="dxa"/>
          </w:tcPr>
          <w:p w:rsidR="004D2B16" w:rsidRDefault="004D2B16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B16" w:rsidTr="008C4C8D">
        <w:tc>
          <w:tcPr>
            <w:tcW w:w="4644" w:type="dxa"/>
          </w:tcPr>
          <w:p w:rsidR="004D2B16" w:rsidRPr="008C4C8D" w:rsidRDefault="004D2B16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4D2B16" w:rsidRDefault="004D2B16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B16" w:rsidTr="008C4C8D">
        <w:tc>
          <w:tcPr>
            <w:tcW w:w="4644" w:type="dxa"/>
          </w:tcPr>
          <w:p w:rsidR="004D2B16" w:rsidRPr="008C4C8D" w:rsidRDefault="004D2B16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4D2B16" w:rsidRDefault="004D2B16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B16" w:rsidTr="008C4C8D">
        <w:tc>
          <w:tcPr>
            <w:tcW w:w="4644" w:type="dxa"/>
          </w:tcPr>
          <w:p w:rsidR="004D2B16" w:rsidRPr="008C4C8D" w:rsidRDefault="004D2B16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4D2B16" w:rsidRDefault="004D2B16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B16" w:rsidTr="008C4C8D">
        <w:tc>
          <w:tcPr>
            <w:tcW w:w="4644" w:type="dxa"/>
          </w:tcPr>
          <w:p w:rsidR="004D2B16" w:rsidRPr="008C4C8D" w:rsidRDefault="004D2B16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4D2B16" w:rsidRDefault="004D2B16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B16" w:rsidTr="008C4C8D">
        <w:tc>
          <w:tcPr>
            <w:tcW w:w="4644" w:type="dxa"/>
          </w:tcPr>
          <w:p w:rsidR="004D2B16" w:rsidRPr="008C4C8D" w:rsidRDefault="004D2B16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4D2B16" w:rsidRDefault="004D2B16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B16" w:rsidTr="008C4C8D">
        <w:tc>
          <w:tcPr>
            <w:tcW w:w="4644" w:type="dxa"/>
          </w:tcPr>
          <w:p w:rsidR="004D2B16" w:rsidRPr="008C4C8D" w:rsidRDefault="004D2B16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4D2B16" w:rsidRDefault="004D2B16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B16" w:rsidTr="008C4C8D">
        <w:tc>
          <w:tcPr>
            <w:tcW w:w="4644" w:type="dxa"/>
          </w:tcPr>
          <w:p w:rsidR="004D2B16" w:rsidRPr="008C4C8D" w:rsidRDefault="004D2B16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4D2B16" w:rsidRDefault="004D2B16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B16" w:rsidTr="008C4C8D">
        <w:tc>
          <w:tcPr>
            <w:tcW w:w="4644" w:type="dxa"/>
          </w:tcPr>
          <w:p w:rsidR="004D2B16" w:rsidRPr="008C4C8D" w:rsidRDefault="004D2B16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4D2B16" w:rsidRDefault="004D2B16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B16" w:rsidTr="008C4C8D">
        <w:tc>
          <w:tcPr>
            <w:tcW w:w="4644" w:type="dxa"/>
          </w:tcPr>
          <w:p w:rsidR="004D2B16" w:rsidRPr="008C4C8D" w:rsidRDefault="004D2B16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4D2B16" w:rsidRDefault="004D2B16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B16" w:rsidTr="008C4C8D">
        <w:tc>
          <w:tcPr>
            <w:tcW w:w="4644" w:type="dxa"/>
          </w:tcPr>
          <w:p w:rsidR="004D2B16" w:rsidRPr="008C4C8D" w:rsidRDefault="004D2B16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4D2B16" w:rsidRDefault="004D2B16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B16" w:rsidTr="008C4C8D">
        <w:tc>
          <w:tcPr>
            <w:tcW w:w="4644" w:type="dxa"/>
          </w:tcPr>
          <w:p w:rsidR="004D2B16" w:rsidRPr="008C4C8D" w:rsidRDefault="004D2B16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4D2B16" w:rsidRDefault="004D2B16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B16" w:rsidTr="008C4C8D">
        <w:tc>
          <w:tcPr>
            <w:tcW w:w="4644" w:type="dxa"/>
          </w:tcPr>
          <w:p w:rsidR="004D2B16" w:rsidRPr="008C4C8D" w:rsidRDefault="004D2B16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4D2B16" w:rsidRDefault="004D2B16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B16" w:rsidTr="008C4C8D">
        <w:tc>
          <w:tcPr>
            <w:tcW w:w="4644" w:type="dxa"/>
          </w:tcPr>
          <w:p w:rsidR="004D2B16" w:rsidRPr="008C4C8D" w:rsidRDefault="004D2B16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4D2B16" w:rsidRDefault="004D2B16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B16" w:rsidTr="008C4C8D">
        <w:tc>
          <w:tcPr>
            <w:tcW w:w="4644" w:type="dxa"/>
          </w:tcPr>
          <w:p w:rsidR="004D2B16" w:rsidRPr="008C4C8D" w:rsidRDefault="004D2B16" w:rsidP="008C4C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4D2B16" w:rsidRDefault="004D2B16" w:rsidP="008C4C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D355F" w:rsidRPr="00CD355F" w:rsidRDefault="00CD355F">
      <w:pPr>
        <w:rPr>
          <w:rFonts w:ascii="Arial" w:hAnsi="Arial" w:cs="Arial"/>
          <w:sz w:val="24"/>
          <w:szCs w:val="24"/>
        </w:rPr>
      </w:pPr>
    </w:p>
    <w:p w:rsidR="00CD355F" w:rsidRPr="004D2B16" w:rsidRDefault="00CD355F" w:rsidP="004D2B1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4D2B16">
        <w:rPr>
          <w:rFonts w:ascii="Arial" w:hAnsi="Arial" w:cs="Arial"/>
          <w:b/>
          <w:sz w:val="24"/>
          <w:szCs w:val="24"/>
        </w:rPr>
        <w:t xml:space="preserve">Literatura </w:t>
      </w:r>
      <w:r w:rsidR="008C4C8D" w:rsidRPr="004D2B16">
        <w:rPr>
          <w:rFonts w:ascii="Arial" w:hAnsi="Arial" w:cs="Arial"/>
          <w:b/>
          <w:sz w:val="24"/>
          <w:szCs w:val="24"/>
        </w:rPr>
        <w:t>navedena u</w:t>
      </w:r>
      <w:r w:rsidRPr="004D2B16">
        <w:rPr>
          <w:rFonts w:ascii="Arial" w:hAnsi="Arial" w:cs="Arial"/>
          <w:b/>
          <w:sz w:val="24"/>
          <w:szCs w:val="24"/>
        </w:rPr>
        <w:t xml:space="preserve"> syllabusu</w:t>
      </w:r>
      <w:r w:rsidR="008C4C8D" w:rsidRPr="004D2B16">
        <w:rPr>
          <w:rFonts w:ascii="Arial" w:hAnsi="Arial" w:cs="Arial"/>
          <w:b/>
          <w:sz w:val="24"/>
          <w:szCs w:val="24"/>
        </w:rPr>
        <w:t xml:space="preserve"> predmeta Privredno pravni sistem i politika i syllabusu predmeta Ekonomske osnove države i prava</w:t>
      </w:r>
    </w:p>
    <w:p w:rsidR="008C4C8D" w:rsidRPr="004D2B16" w:rsidRDefault="008C4C8D" w:rsidP="004D2B1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4D2B16">
        <w:rPr>
          <w:rFonts w:ascii="Arial" w:hAnsi="Arial" w:cs="Arial"/>
          <w:b/>
          <w:sz w:val="24"/>
          <w:szCs w:val="24"/>
        </w:rPr>
        <w:t>Ostala relevantna literatura</w:t>
      </w:r>
    </w:p>
    <w:p w:rsidR="00CD355F" w:rsidRPr="004D2B16" w:rsidRDefault="008C4C8D" w:rsidP="004D2B1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4D2B16">
        <w:rPr>
          <w:rFonts w:ascii="Arial" w:hAnsi="Arial" w:cs="Arial"/>
          <w:b/>
          <w:sz w:val="24"/>
          <w:szCs w:val="24"/>
        </w:rPr>
        <w:t>On-line izvori</w:t>
      </w:r>
    </w:p>
    <w:p w:rsidR="008C4C8D" w:rsidRDefault="008C4C8D" w:rsidP="008C4C8D">
      <w:pPr>
        <w:jc w:val="right"/>
        <w:rPr>
          <w:rFonts w:ascii="Arial" w:hAnsi="Arial" w:cs="Arial"/>
          <w:b/>
          <w:sz w:val="24"/>
          <w:szCs w:val="24"/>
        </w:rPr>
      </w:pPr>
    </w:p>
    <w:p w:rsidR="00CD355F" w:rsidRDefault="00CD355F" w:rsidP="008C4C8D">
      <w:pPr>
        <w:jc w:val="right"/>
        <w:rPr>
          <w:rFonts w:ascii="Arial" w:hAnsi="Arial" w:cs="Arial"/>
          <w:b/>
          <w:sz w:val="24"/>
          <w:szCs w:val="24"/>
        </w:rPr>
      </w:pPr>
      <w:r w:rsidRPr="00CD355F">
        <w:rPr>
          <w:rFonts w:ascii="Arial" w:hAnsi="Arial" w:cs="Arial"/>
          <w:b/>
          <w:sz w:val="24"/>
          <w:szCs w:val="24"/>
        </w:rPr>
        <w:t>Odg</w:t>
      </w:r>
      <w:r w:rsidR="00ED2A37">
        <w:rPr>
          <w:rFonts w:ascii="Arial" w:hAnsi="Arial" w:cs="Arial"/>
          <w:b/>
          <w:sz w:val="24"/>
          <w:szCs w:val="24"/>
        </w:rPr>
        <w:t>ovorni nastavnik:</w:t>
      </w:r>
      <w:r w:rsidR="00ED2A37">
        <w:rPr>
          <w:rFonts w:ascii="Arial" w:hAnsi="Arial" w:cs="Arial"/>
          <w:b/>
          <w:sz w:val="24"/>
          <w:szCs w:val="24"/>
        </w:rPr>
        <w:tab/>
      </w:r>
      <w:r w:rsidRPr="00CD355F">
        <w:rPr>
          <w:rFonts w:ascii="Arial" w:hAnsi="Arial" w:cs="Arial"/>
          <w:b/>
          <w:sz w:val="24"/>
          <w:szCs w:val="24"/>
        </w:rPr>
        <w:t>Prof. dr. sc. Faruk Jašarević</w:t>
      </w:r>
    </w:p>
    <w:p w:rsidR="00ED2A37" w:rsidRDefault="00832301" w:rsidP="008C4C8D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Suradnici</w:t>
      </w:r>
      <w:r w:rsidR="00F95E2D">
        <w:rPr>
          <w:rFonts w:ascii="Arial" w:hAnsi="Arial" w:cs="Arial"/>
          <w:b/>
          <w:sz w:val="24"/>
          <w:szCs w:val="24"/>
        </w:rPr>
        <w:t>:</w:t>
      </w:r>
      <w:r w:rsidR="00F95E2D">
        <w:rPr>
          <w:rFonts w:ascii="Arial" w:hAnsi="Arial" w:cs="Arial"/>
          <w:b/>
          <w:sz w:val="24"/>
          <w:szCs w:val="24"/>
        </w:rPr>
        <w:tab/>
      </w:r>
      <w:r w:rsidR="00F95E2D">
        <w:rPr>
          <w:rFonts w:ascii="Arial" w:hAnsi="Arial" w:cs="Arial"/>
          <w:b/>
          <w:sz w:val="24"/>
          <w:szCs w:val="24"/>
        </w:rPr>
        <w:tab/>
      </w:r>
      <w:r w:rsidR="00F95E2D">
        <w:rPr>
          <w:rFonts w:ascii="Arial" w:hAnsi="Arial" w:cs="Arial"/>
          <w:b/>
          <w:sz w:val="24"/>
          <w:szCs w:val="24"/>
        </w:rPr>
        <w:tab/>
      </w:r>
      <w:r w:rsidR="00ED2A37">
        <w:rPr>
          <w:rFonts w:ascii="Arial" w:hAnsi="Arial" w:cs="Arial"/>
          <w:b/>
          <w:sz w:val="24"/>
          <w:szCs w:val="24"/>
        </w:rPr>
        <w:t>Doc. dr. sc. Ermin Kuka</w:t>
      </w:r>
    </w:p>
    <w:p w:rsidR="008C4C8D" w:rsidRPr="00CD355F" w:rsidRDefault="00832301" w:rsidP="008C4C8D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Viši asistent Haris Kozlo, MA</w:t>
      </w:r>
      <w:bookmarkStart w:id="0" w:name="_GoBack"/>
      <w:bookmarkEnd w:id="0"/>
    </w:p>
    <w:sectPr w:rsidR="008C4C8D" w:rsidRPr="00CD3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2713"/>
    <w:multiLevelType w:val="hybridMultilevel"/>
    <w:tmpl w:val="7B9228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97321"/>
    <w:multiLevelType w:val="hybridMultilevel"/>
    <w:tmpl w:val="C63A4D04"/>
    <w:lvl w:ilvl="0" w:tplc="8CE0DC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55F"/>
    <w:rsid w:val="00037DF8"/>
    <w:rsid w:val="00340253"/>
    <w:rsid w:val="004D2B16"/>
    <w:rsid w:val="005E174E"/>
    <w:rsid w:val="006F6B0B"/>
    <w:rsid w:val="00832301"/>
    <w:rsid w:val="008369C0"/>
    <w:rsid w:val="00880DCD"/>
    <w:rsid w:val="008C4C8D"/>
    <w:rsid w:val="00AF2666"/>
    <w:rsid w:val="00CD355F"/>
    <w:rsid w:val="00ED2A37"/>
    <w:rsid w:val="00F9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55F"/>
    <w:pPr>
      <w:ind w:left="720"/>
      <w:contextualSpacing/>
    </w:pPr>
  </w:style>
  <w:style w:type="table" w:styleId="TableGrid">
    <w:name w:val="Table Grid"/>
    <w:basedOn w:val="TableNormal"/>
    <w:uiPriority w:val="59"/>
    <w:rsid w:val="00F95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55F"/>
    <w:pPr>
      <w:ind w:left="720"/>
      <w:contextualSpacing/>
    </w:pPr>
  </w:style>
  <w:style w:type="table" w:styleId="TableGrid">
    <w:name w:val="Table Grid"/>
    <w:basedOn w:val="TableNormal"/>
    <w:uiPriority w:val="59"/>
    <w:rsid w:val="00F95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faruk</dc:creator>
  <cp:lastModifiedBy>Faruk Jašarević</cp:lastModifiedBy>
  <cp:revision>14</cp:revision>
  <dcterms:created xsi:type="dcterms:W3CDTF">2017-12-25T18:02:00Z</dcterms:created>
  <dcterms:modified xsi:type="dcterms:W3CDTF">2019-02-18T15:40:00Z</dcterms:modified>
</cp:coreProperties>
</file>